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9.0 -->
  <w:body>
    <w:tbl>
      <w:tblPr>
        <w:tblStyle w:val="TableGri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4A0"/>
      </w:tblPr>
      <w:tblGrid>
        <w:gridCol w:w="1577"/>
        <w:gridCol w:w="877"/>
        <w:gridCol w:w="2365"/>
        <w:gridCol w:w="834"/>
        <w:gridCol w:w="1164"/>
        <w:gridCol w:w="2224"/>
      </w:tblGrid>
      <w:tr w:rsidTr="00811B8E">
        <w:tblPrEx>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4A0"/>
        </w:tblPrEx>
        <w:trPr>
          <w:trHeight w:val="454"/>
        </w:trPr>
        <w:tc>
          <w:tcPr>
            <w:tcW w:w="872" w:type="pct"/>
            <w:tcBorders>
              <w:right w:val="nil"/>
            </w:tcBorders>
            <w:vAlign w:val="center"/>
          </w:tcPr>
          <w:p w:rsidR="00FC44E8" w:rsidP="005E1AC9">
            <w:bookmarkStart w:id="0" w:name="tempHer"/>
            <w:bookmarkStart w:id="1" w:name="_GoBack"/>
            <w:bookmarkEnd w:id="0"/>
            <w:bookmarkEnd w:id="1"/>
            <w:r>
              <w:rPr>
                <w:noProof/>
              </w:rPr>
              <w:drawing>
                <wp:inline distT="0" distB="0" distL="0" distR="0">
                  <wp:extent cx="895985" cy="383994"/>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103521" name=""/>
                          <pic:cNvPicPr/>
                        </pic:nvPicPr>
                        <pic:blipFill>
                          <a:blip xmlns:r="http://schemas.openxmlformats.org/officeDocument/2006/relationships" r:embed="rId4"/>
                          <a:stretch>
                            <a:fillRect/>
                          </a:stretch>
                        </pic:blipFill>
                        <pic:spPr>
                          <a:xfrm>
                            <a:off x="0" y="0"/>
                            <a:ext cx="946515" cy="405650"/>
                          </a:xfrm>
                          <a:prstGeom prst="rect">
                            <a:avLst/>
                          </a:prstGeom>
                        </pic:spPr>
                      </pic:pic>
                    </a:graphicData>
                  </a:graphic>
                </wp:inline>
              </w:drawing>
            </w:r>
          </w:p>
        </w:tc>
        <w:tc>
          <w:tcPr>
            <w:tcW w:w="2898" w:type="pct"/>
            <w:gridSpan w:val="4"/>
            <w:tcBorders>
              <w:top w:val="single" w:sz="12" w:space="0" w:color="auto"/>
              <w:left w:val="nil"/>
              <w:bottom w:val="single" w:sz="6" w:space="0" w:color="auto"/>
            </w:tcBorders>
            <w:vAlign w:val="center"/>
          </w:tcPr>
          <w:p w:rsidR="00FC44E8" w:rsidRPr="00FC44E8" w:rsidP="005E1AC9">
            <w:pPr>
              <w:rPr>
                <w:color w:val="000080"/>
              </w:rPr>
            </w:pPr>
            <w:r>
              <w:rPr>
                <w:b/>
                <w:color w:val="000080"/>
                <w:sz w:val="28"/>
              </w:rPr>
              <w:fldChar w:fldCharType="begin" w:fldLock="1"/>
            </w:r>
            <w:r>
              <w:rPr>
                <w:b/>
                <w:color w:val="000080"/>
                <w:sz w:val="28"/>
              </w:rPr>
              <w:instrText xml:space="preserve"> DOCPROPERTY EK_Bedriftsnavn </w:instrText>
            </w:r>
            <w:r>
              <w:rPr>
                <w:b/>
                <w:color w:val="000080"/>
                <w:sz w:val="28"/>
              </w:rPr>
              <w:fldChar w:fldCharType="separate"/>
            </w:r>
            <w:r>
              <w:rPr>
                <w:b/>
                <w:color w:val="000080"/>
                <w:sz w:val="28"/>
              </w:rPr>
              <w:t>Skipsoffisersutdanningen i Norge</w:t>
            </w:r>
            <w:r>
              <w:rPr>
                <w:b/>
                <w:color w:val="000080"/>
                <w:sz w:val="28"/>
              </w:rPr>
              <w:fldChar w:fldCharType="end"/>
            </w:r>
          </w:p>
        </w:tc>
        <w:tc>
          <w:tcPr>
            <w:tcW w:w="1231" w:type="pct"/>
            <w:vAlign w:val="center"/>
          </w:tcPr>
          <w:p w:rsidR="00FC44E8" w:rsidP="005E1AC9">
            <w:r>
              <w:rPr>
                <w:sz w:val="16"/>
              </w:rPr>
              <w:t xml:space="preserve">Dok.id.: </w:t>
            </w:r>
            <w:r>
              <w:rPr>
                <w:color w:val="000080"/>
                <w:sz w:val="20"/>
              </w:rPr>
              <w:fldChar w:fldCharType="begin" w:fldLock="1"/>
            </w:r>
            <w:r>
              <w:rPr>
                <w:color w:val="000080"/>
                <w:sz w:val="20"/>
              </w:rPr>
              <w:instrText>DOCPROPERTY EK_RefNr \*charformat</w:instrText>
            </w:r>
            <w:r>
              <w:rPr>
                <w:color w:val="000080"/>
                <w:sz w:val="20"/>
              </w:rPr>
              <w:fldChar w:fldCharType="separate"/>
            </w:r>
            <w:r>
              <w:rPr>
                <w:color w:val="000080"/>
                <w:sz w:val="20"/>
              </w:rPr>
              <w:t>.12.3</w:t>
            </w:r>
            <w:r>
              <w:rPr>
                <w:color w:val="000080"/>
                <w:sz w:val="20"/>
              </w:rPr>
              <w:fldChar w:fldCharType="end"/>
            </w:r>
          </w:p>
        </w:tc>
      </w:tr>
      <w:tr w:rsidTr="00811B8E">
        <w:tblPrEx>
          <w:tblW w:w="5000" w:type="pct"/>
          <w:tblCellMar>
            <w:left w:w="57" w:type="dxa"/>
            <w:right w:w="57" w:type="dxa"/>
          </w:tblCellMar>
          <w:tblLook w:val="04A0"/>
        </w:tblPrEx>
        <w:trPr>
          <w:trHeight w:val="454"/>
        </w:trPr>
        <w:tc>
          <w:tcPr>
            <w:tcW w:w="3769" w:type="pct"/>
            <w:gridSpan w:val="5"/>
            <w:vAlign w:val="center"/>
          </w:tcPr>
          <w:p w:rsidR="00FC44E8" w:rsidRPr="00FC44E8" w:rsidP="005E1AC9">
            <w:pPr>
              <w:rPr>
                <w:color w:val="000080"/>
              </w:rPr>
            </w:pPr>
            <w:r>
              <w:rPr>
                <w:b/>
                <w:color w:val="000080"/>
              </w:rPr>
              <w:fldChar w:fldCharType="begin" w:fldLock="1"/>
            </w:r>
            <w:r>
              <w:rPr>
                <w:b/>
                <w:color w:val="000080"/>
              </w:rPr>
              <w:instrText xml:space="preserve"> DOCPROPERTY EK_DokTittel </w:instrText>
            </w:r>
            <w:r>
              <w:rPr>
                <w:b/>
                <w:color w:val="000080"/>
              </w:rPr>
              <w:fldChar w:fldCharType="separate"/>
            </w:r>
            <w:r>
              <w:rPr>
                <w:b/>
                <w:color w:val="000080"/>
              </w:rPr>
              <w:t>Avviksbehandling</w:t>
            </w:r>
            <w:r>
              <w:rPr>
                <w:b/>
                <w:color w:val="000080"/>
              </w:rPr>
              <w:fldChar w:fldCharType="end"/>
            </w:r>
          </w:p>
        </w:tc>
        <w:tc>
          <w:tcPr>
            <w:tcW w:w="1231" w:type="pct"/>
            <w:vAlign w:val="center"/>
          </w:tcPr>
          <w:p w:rsidR="00FC44E8" w:rsidP="005E1AC9">
            <w:r>
              <w:rPr>
                <w:color w:val="000080"/>
                <w:sz w:val="20"/>
              </w:rPr>
              <w:fldChar w:fldCharType="begin" w:fldLock="1"/>
            </w:r>
            <w:r>
              <w:rPr>
                <w:color w:val="000080"/>
                <w:sz w:val="20"/>
              </w:rPr>
              <w:instrText>DOCPROPERTY EK_DokType \*charformat</w:instrText>
            </w:r>
            <w:r>
              <w:rPr>
                <w:color w:val="000080"/>
                <w:sz w:val="20"/>
              </w:rPr>
              <w:fldChar w:fldCharType="separate"/>
            </w:r>
            <w:r>
              <w:rPr>
                <w:color w:val="000080"/>
                <w:sz w:val="20"/>
              </w:rPr>
              <w:t>Prosedyre</w:t>
            </w:r>
            <w:r>
              <w:rPr>
                <w:color w:val="000080"/>
                <w:sz w:val="20"/>
              </w:rPr>
              <w:fldChar w:fldCharType="end"/>
            </w:r>
          </w:p>
        </w:tc>
      </w:tr>
      <w:tr w:rsidTr="00811B8E">
        <w:tblPrEx>
          <w:tblW w:w="5000" w:type="pct"/>
          <w:tblCellMar>
            <w:left w:w="57" w:type="dxa"/>
            <w:right w:w="57" w:type="dxa"/>
          </w:tblCellMar>
          <w:tblLook w:val="04A0"/>
        </w:tblPrEx>
        <w:trPr>
          <w:trHeight w:val="454"/>
        </w:trPr>
        <w:tc>
          <w:tcPr>
            <w:tcW w:w="1357" w:type="pct"/>
            <w:gridSpan w:val="2"/>
          </w:tcPr>
          <w:p w:rsidR="00FC44E8" w:rsidP="005E1AC9">
            <w:pPr>
              <w:rPr>
                <w:sz w:val="16"/>
              </w:rPr>
            </w:pPr>
            <w:r>
              <w:rPr>
                <w:sz w:val="16"/>
              </w:rPr>
              <w:t>Utarbeidet av:</w:t>
            </w:r>
          </w:p>
          <w:p w:rsidR="00FC44E8" w:rsidP="005E1AC9">
            <w:pPr>
              <w:jc w:val="center"/>
            </w:pPr>
            <w:r>
              <w:rPr>
                <w:color w:val="000080"/>
                <w:sz w:val="20"/>
              </w:rPr>
              <w:fldChar w:fldCharType="begin" w:fldLock="1"/>
            </w:r>
            <w:r>
              <w:rPr>
                <w:color w:val="000080"/>
                <w:sz w:val="20"/>
              </w:rPr>
              <w:instrText>DOCPROPERTY EK_SkrevetAv \*charformat</w:instrText>
            </w:r>
            <w:r>
              <w:rPr>
                <w:color w:val="000080"/>
                <w:sz w:val="20"/>
              </w:rPr>
              <w:fldChar w:fldCharType="separate"/>
            </w:r>
            <w:r>
              <w:rPr>
                <w:color w:val="000080"/>
                <w:sz w:val="20"/>
              </w:rPr>
              <w:t>Maritime fagskoler i Norge</w:t>
            </w:r>
            <w:r>
              <w:rPr>
                <w:color w:val="000080"/>
                <w:sz w:val="20"/>
              </w:rPr>
              <w:fldChar w:fldCharType="end"/>
            </w:r>
          </w:p>
        </w:tc>
        <w:tc>
          <w:tcPr>
            <w:tcW w:w="1308" w:type="pct"/>
          </w:tcPr>
          <w:p w:rsidR="00FC44E8" w:rsidP="005E1AC9">
            <w:pPr>
              <w:rPr>
                <w:color w:val="000080"/>
                <w:sz w:val="20"/>
              </w:rPr>
            </w:pPr>
            <w:r>
              <w:rPr>
                <w:sz w:val="16"/>
              </w:rPr>
              <w:t>Godkjent av:</w:t>
            </w:r>
          </w:p>
          <w:p w:rsidR="00FC44E8" w:rsidP="005E1AC9">
            <w:pPr>
              <w:jc w:val="center"/>
            </w:pPr>
            <w:r>
              <w:rPr>
                <w:color w:val="000080"/>
                <w:sz w:val="20"/>
              </w:rPr>
              <w:fldChar w:fldCharType="begin" w:fldLock="1"/>
            </w:r>
            <w:r>
              <w:rPr>
                <w:color w:val="000080"/>
                <w:sz w:val="20"/>
              </w:rPr>
              <w:instrText>DOCPROPERTY EK_Signatur \*charformat</w:instrText>
            </w:r>
            <w:r>
              <w:rPr>
                <w:color w:val="000080"/>
                <w:sz w:val="20"/>
              </w:rPr>
              <w:fldChar w:fldCharType="separate"/>
            </w:r>
            <w:r>
              <w:rPr>
                <w:color w:val="000080"/>
                <w:sz w:val="20"/>
              </w:rPr>
              <w:t>Audun Sandnes</w:t>
            </w:r>
            <w:r>
              <w:rPr>
                <w:color w:val="000080"/>
                <w:sz w:val="20"/>
              </w:rPr>
              <w:fldChar w:fldCharType="end"/>
            </w:r>
          </w:p>
        </w:tc>
        <w:tc>
          <w:tcPr>
            <w:tcW w:w="461" w:type="pct"/>
          </w:tcPr>
          <w:p w:rsidR="00FC44E8" w:rsidP="005E1AC9">
            <w:pPr>
              <w:rPr>
                <w:color w:val="000080"/>
                <w:sz w:val="20"/>
              </w:rPr>
            </w:pPr>
            <w:r>
              <w:rPr>
                <w:sz w:val="16"/>
              </w:rPr>
              <w:t>Versjon:</w:t>
            </w:r>
          </w:p>
          <w:p w:rsidR="00FC44E8" w:rsidP="005E1AC9">
            <w:pPr>
              <w:jc w:val="center"/>
            </w:pPr>
            <w:r>
              <w:rPr>
                <w:color w:val="000080"/>
                <w:sz w:val="20"/>
              </w:rPr>
              <w:fldChar w:fldCharType="begin" w:fldLock="1"/>
            </w:r>
            <w:r>
              <w:rPr>
                <w:color w:val="000080"/>
                <w:sz w:val="20"/>
              </w:rPr>
              <w:instrText>DOCPROPERTY EK_Utgave \*charformat</w:instrText>
            </w:r>
            <w:r>
              <w:rPr>
                <w:color w:val="000080"/>
                <w:sz w:val="20"/>
              </w:rPr>
              <w:fldChar w:fldCharType="separate"/>
            </w:r>
            <w:r>
              <w:rPr>
                <w:color w:val="000080"/>
                <w:sz w:val="20"/>
              </w:rPr>
              <w:t>1.00</w:t>
            </w:r>
            <w:r>
              <w:rPr>
                <w:color w:val="000080"/>
                <w:sz w:val="20"/>
              </w:rPr>
              <w:fldChar w:fldCharType="end"/>
            </w:r>
          </w:p>
        </w:tc>
        <w:tc>
          <w:tcPr>
            <w:tcW w:w="643" w:type="pct"/>
          </w:tcPr>
          <w:p w:rsidR="00FC44E8" w:rsidP="005E1AC9">
            <w:pPr>
              <w:rPr>
                <w:sz w:val="16"/>
              </w:rPr>
            </w:pPr>
            <w:r>
              <w:rPr>
                <w:sz w:val="16"/>
              </w:rPr>
              <w:t>Gjelder fra:</w:t>
            </w:r>
          </w:p>
          <w:p w:rsidR="00FC44E8" w:rsidP="005E1AC9">
            <w:pPr>
              <w:jc w:val="center"/>
            </w:pPr>
            <w:r>
              <w:rPr>
                <w:color w:val="000080"/>
                <w:sz w:val="20"/>
              </w:rPr>
              <w:fldChar w:fldCharType="begin" w:fldLock="1"/>
            </w:r>
            <w:r>
              <w:rPr>
                <w:color w:val="000080"/>
                <w:sz w:val="20"/>
              </w:rPr>
              <w:instrText>DOCPROPERTY EK_GjelderFra \*charformat</w:instrText>
            </w:r>
            <w:r>
              <w:rPr>
                <w:color w:val="000080"/>
                <w:sz w:val="20"/>
              </w:rPr>
              <w:fldChar w:fldCharType="separate"/>
            </w:r>
            <w:r>
              <w:rPr>
                <w:color w:val="000080"/>
                <w:sz w:val="20"/>
              </w:rPr>
              <w:t>07.09.2020</w:t>
            </w:r>
            <w:r>
              <w:rPr>
                <w:color w:val="000080"/>
                <w:sz w:val="20"/>
              </w:rPr>
              <w:fldChar w:fldCharType="end"/>
            </w:r>
          </w:p>
        </w:tc>
        <w:tc>
          <w:tcPr>
            <w:tcW w:w="1231" w:type="pct"/>
          </w:tcPr>
          <w:p w:rsidR="00FC44E8" w:rsidP="005E1AC9">
            <w:pPr>
              <w:rPr>
                <w:sz w:val="20"/>
              </w:rPr>
            </w:pPr>
            <w:r>
              <w:rPr>
                <w:sz w:val="16"/>
              </w:rPr>
              <w:t>Sidenr:</w:t>
            </w:r>
          </w:p>
          <w:p w:rsidR="00FC44E8" w:rsidP="005E1AC9">
            <w:pPr>
              <w:jc w:val="center"/>
            </w:pPr>
            <w:r>
              <w:rPr>
                <w:sz w:val="20"/>
              </w:rPr>
              <w:fldChar w:fldCharType="begin"/>
            </w:r>
            <w:r>
              <w:rPr>
                <w:sz w:val="20"/>
              </w:rPr>
              <w:instrText xml:space="preserve">PAGE </w:instrText>
            </w:r>
            <w:r>
              <w:rPr>
                <w:sz w:val="20"/>
              </w:rPr>
              <w:fldChar w:fldCharType="separate"/>
            </w:r>
            <w:r>
              <w:rPr>
                <w:sz w:val="20"/>
              </w:rPr>
              <w:t>1</w:t>
            </w:r>
            <w:r>
              <w:rPr>
                <w:sz w:val="20"/>
              </w:rPr>
              <w:fldChar w:fldCharType="end"/>
            </w:r>
            <w:r>
              <w:rPr>
                <w:sz w:val="20"/>
              </w:rPr>
              <w:t xml:space="preserve"> av </w:t>
            </w:r>
            <w:r>
              <w:rPr>
                <w:sz w:val="20"/>
              </w:rPr>
              <w:fldChar w:fldCharType="begin"/>
            </w:r>
            <w:r>
              <w:rPr>
                <w:sz w:val="20"/>
              </w:rPr>
              <w:instrText>NUMPAGES</w:instrText>
            </w:r>
            <w:r>
              <w:rPr>
                <w:sz w:val="20"/>
              </w:rPr>
              <w:fldChar w:fldCharType="separate"/>
            </w:r>
            <w:r>
              <w:rPr>
                <w:sz w:val="20"/>
              </w:rPr>
              <w:t>3</w:t>
            </w:r>
            <w:r>
              <w:rPr>
                <w:sz w:val="20"/>
              </w:rPr>
              <w:fldChar w:fldCharType="end"/>
            </w:r>
          </w:p>
        </w:tc>
      </w:tr>
    </w:tbl>
    <w:p w:rsidR="00FC44E8" w:rsidP="00FC44E8"/>
    <w:p w:rsidR="00C14E73" w:rsidP="00C14E73">
      <w:pPr>
        <w:pStyle w:val="Heading1"/>
        <w:ind w:left="360"/>
      </w:pPr>
    </w:p>
    <w:p w:rsidR="00C14E73" w:rsidP="00C14E73">
      <w:pPr>
        <w:pStyle w:val="Heading1"/>
        <w:spacing w:before="0" w:line="260" w:lineRule="atLeast"/>
        <w:ind w:left="360" w:hanging="360"/>
        <w:contextualSpacing/>
      </w:pPr>
      <w:r>
        <w:t>Formål</w:t>
      </w:r>
    </w:p>
    <w:p w:rsidR="00C14E73" w:rsidRPr="00CB7CA9" w:rsidP="00C14E73"/>
    <w:p w:rsidR="00C14E73" w:rsidRPr="00960004" w:rsidP="00C14E73">
      <w:r w:rsidRPr="00960004">
        <w:t>Formålet med et fellesavvikssystem for de maritime fagskoler er å sikre kvaliteten og relevansen av felles styringsdokumenter og prosedyrer. Prosedyren skal sikre at avvik som oppdages i forhold til dette meldes, registreres og behandles, slik at gjentakelse av feil unngås og at styringsdokumentasjonen er i tråd med internasjonalt og nasjonalt regelverk og sikrer felles prosesser.</w:t>
      </w:r>
    </w:p>
    <w:p w:rsidR="00C14E73" w:rsidRPr="00960004" w:rsidP="00C14E73"/>
    <w:p w:rsidR="00C14E73" w:rsidRPr="00960004" w:rsidP="00C14E73"/>
    <w:p w:rsidR="00C14E73" w:rsidRPr="00960004" w:rsidP="00C14E73">
      <w:pPr>
        <w:pStyle w:val="Heading1"/>
        <w:spacing w:before="0" w:line="260" w:lineRule="atLeast"/>
        <w:ind w:left="360" w:hanging="360"/>
        <w:contextualSpacing/>
      </w:pPr>
      <w:r w:rsidRPr="00960004">
        <w:t>Gyldig for</w:t>
      </w:r>
    </w:p>
    <w:p w:rsidR="00C14E73" w:rsidP="00C14E73">
      <w:r w:rsidRPr="00960004">
        <w:t>Prosedyren er gjeldende for de som av rektormøtet er delegert myndighet for å ivareta avviksbehandlingen i forhold til felles kvalitetssystem.</w:t>
      </w:r>
      <w:r>
        <w:t xml:space="preserve"> </w:t>
      </w:r>
    </w:p>
    <w:p w:rsidR="00C14E73" w:rsidP="00C14E73"/>
    <w:p w:rsidR="00C14E73" w:rsidP="00C14E73">
      <w:pPr>
        <w:pStyle w:val="Heading1"/>
        <w:spacing w:before="0" w:line="260" w:lineRule="atLeast"/>
        <w:ind w:left="360" w:hanging="360"/>
        <w:contextualSpacing/>
        <w:jc w:val="both"/>
      </w:pPr>
      <w:r>
        <w:t xml:space="preserve">Registreringer: </w:t>
      </w:r>
    </w:p>
    <w:p w:rsidR="00C14E73" w:rsidRPr="00B41603" w:rsidP="00C14E73">
      <w:pPr>
        <w:rPr>
          <w:b/>
          <w:i/>
          <w:color w:val="595959" w:themeColor="text1" w:themeTint="A6"/>
          <w:sz w:val="20"/>
          <w:u w:val="single"/>
        </w:rPr>
      </w:pPr>
      <w:r>
        <w:t>Registreringer i avvikssystemets database</w:t>
      </w:r>
    </w:p>
    <w:p w:rsidR="00C14E73" w:rsidRPr="00B60F35" w:rsidP="00C14E73">
      <w:pPr>
        <w:rPr>
          <w:color w:val="595959" w:themeColor="text1" w:themeTint="A6"/>
          <w:sz w:val="20"/>
        </w:rPr>
      </w:pPr>
    </w:p>
    <w:p w:rsidR="00C14E73" w:rsidP="00C14E73">
      <w:pPr>
        <w:pStyle w:val="Heading1"/>
        <w:spacing w:before="0" w:line="260" w:lineRule="atLeast"/>
        <w:ind w:left="360" w:hanging="360"/>
        <w:contextualSpacing/>
      </w:pPr>
      <w:r>
        <w:t>Definisjoner</w:t>
      </w:r>
    </w:p>
    <w:p w:rsidR="00C14E73" w:rsidP="00C14E73"/>
    <w:p w:rsidR="00C14E73" w:rsidP="00C14E73">
      <w:r w:rsidRPr="00B943C6">
        <w:rPr>
          <w:b/>
        </w:rPr>
        <w:t>Avvik:</w:t>
      </w:r>
      <w:r>
        <w:t xml:space="preserve"> Brudd på interne eller eksterne lover, regler og forskrifter. </w:t>
      </w:r>
    </w:p>
    <w:p w:rsidR="00C14E73" w:rsidP="00C14E73"/>
    <w:p w:rsidR="00C14E73" w:rsidP="00C14E73">
      <w:r w:rsidRPr="00B943C6">
        <w:rPr>
          <w:b/>
        </w:rPr>
        <w:t>Uønsket hendelse:</w:t>
      </w:r>
      <w:r>
        <w:rPr>
          <w:b/>
        </w:rPr>
        <w:t xml:space="preserve"> </w:t>
      </w:r>
      <w:r>
        <w:t xml:space="preserve">Alle hendelser som under litt andre omstendigheter kunne ført til skade på personer, omdømme, miljø eller gjenstander. </w:t>
      </w:r>
    </w:p>
    <w:p w:rsidR="00C14E73" w:rsidP="00C14E73"/>
    <w:p w:rsidR="00C14E73" w:rsidP="00C14E73">
      <w:r w:rsidRPr="00F67E62">
        <w:rPr>
          <w:b/>
        </w:rPr>
        <w:t>Forbedringsforslag:</w:t>
      </w:r>
      <w:r>
        <w:t xml:space="preserve"> Digital mulighet for at aktører i næringen, myndigheter, ansatte, studenter og andre kan bidra til utvikling av felles styringsdokumenter og gjennom det opplæringen av skipsoffiserer.</w:t>
      </w:r>
    </w:p>
    <w:p w:rsidR="00C14E73" w:rsidP="00C14E73"/>
    <w:p w:rsidR="00C14E73" w:rsidP="00C14E73">
      <w:r w:rsidRPr="00F67E62">
        <w:rPr>
          <w:b/>
        </w:rPr>
        <w:t>Avviksanalyse:</w:t>
      </w:r>
      <w:r>
        <w:t xml:space="preserve"> Er en analyse av mulige årsaker og bakenforliggende årsaker til et avvik og en uønsket hendelse. Analysen har til hensikt å treffe tiltak som kan gi varig endringer i våre handlinger som hindrer at avvik og uønskede hendelser gjentar seg. </w:t>
      </w:r>
    </w:p>
    <w:p w:rsidR="00C14E73" w:rsidP="00C14E73"/>
    <w:p w:rsidR="00C14E73" w:rsidP="00C14E73">
      <w:r w:rsidRPr="00F67E62">
        <w:rPr>
          <w:b/>
        </w:rPr>
        <w:t>Korrektive tiltak:</w:t>
      </w:r>
      <w:r>
        <w:t xml:space="preserve"> Dette innebærer å redusere sannsynligheten og/eller redusere konsekvensene for at hendelsen/avviket oppstår. </w:t>
      </w:r>
    </w:p>
    <w:p w:rsidR="00C14E73" w:rsidP="00C14E73"/>
    <w:p w:rsidR="00C14E73" w:rsidP="00C14E73">
      <w:r w:rsidRPr="00F67E62">
        <w:rPr>
          <w:b/>
        </w:rPr>
        <w:t>Forebyggende tiltak</w:t>
      </w:r>
      <w:r>
        <w:t xml:space="preserve"> Tiltak for å hindre at årsakene til at potensielle hendelser/avvik oppstår. </w:t>
      </w:r>
    </w:p>
    <w:p w:rsidR="00C14E73" w:rsidP="00C14E73"/>
    <w:p w:rsidR="00C14E73" w:rsidP="00C14E73">
      <w:r w:rsidRPr="00F67E62">
        <w:rPr>
          <w:b/>
        </w:rPr>
        <w:t>Avvikssystemet</w:t>
      </w:r>
      <w:r>
        <w:rPr>
          <w:b/>
        </w:rPr>
        <w:t>:</w:t>
      </w:r>
      <w:r>
        <w:t xml:space="preserve"> System for melding, behandling og registrering av avvik og uønskede hendelser</w:t>
      </w:r>
    </w:p>
    <w:p w:rsidR="00C14E73" w:rsidP="00C14E73"/>
    <w:p w:rsidR="00C14E73" w:rsidP="00C14E73">
      <w:pPr>
        <w:rPr>
          <w:szCs w:val="24"/>
        </w:rPr>
      </w:pPr>
    </w:p>
    <w:p w:rsidR="00C14E73" w:rsidRPr="00B60F35" w:rsidP="00C14E73">
      <w:pPr>
        <w:pStyle w:val="Heading1"/>
        <w:spacing w:before="0" w:line="260" w:lineRule="atLeast"/>
        <w:ind w:left="360" w:hanging="360"/>
        <w:contextualSpacing/>
      </w:pPr>
      <w:r>
        <w:t>Kobling mot overordnede føringer og prinsipper</w:t>
      </w:r>
    </w:p>
    <w:p w:rsidR="00C14E73" w:rsidP="00C14E73">
      <w:pPr>
        <w:rPr>
          <w:szCs w:val="24"/>
        </w:rPr>
      </w:pPr>
      <w:r>
        <w:rPr>
          <w:szCs w:val="24"/>
        </w:rPr>
        <w:t>Denne prosedyren skal sikre forsvarlig og effektiv håndtering av avvik i tråd med føringer gitt i/av:</w:t>
      </w:r>
    </w:p>
    <w:p w:rsidR="00C14E73" w:rsidP="00C14E73">
      <w:pPr>
        <w:pStyle w:val="ListParagraph"/>
        <w:numPr>
          <w:ilvl w:val="0"/>
          <w:numId w:val="1"/>
        </w:numPr>
        <w:jc w:val="left"/>
        <w:rPr>
          <w:szCs w:val="24"/>
        </w:rPr>
      </w:pPr>
      <w:r>
        <w:rPr>
          <w:szCs w:val="24"/>
        </w:rPr>
        <w:t>NOKUT</w:t>
      </w:r>
    </w:p>
    <w:p w:rsidR="00C14E73" w:rsidP="00C14E73">
      <w:pPr>
        <w:pStyle w:val="ListParagraph"/>
        <w:numPr>
          <w:ilvl w:val="0"/>
          <w:numId w:val="1"/>
        </w:numPr>
        <w:jc w:val="left"/>
        <w:rPr>
          <w:szCs w:val="24"/>
        </w:rPr>
      </w:pPr>
      <w:r>
        <w:rPr>
          <w:szCs w:val="24"/>
        </w:rPr>
        <w:t>Sjøfartsdirektoratet</w:t>
      </w:r>
    </w:p>
    <w:p w:rsidR="00C14E73" w:rsidP="00C14E73">
      <w:pPr>
        <w:pStyle w:val="ListParagraph"/>
        <w:numPr>
          <w:ilvl w:val="0"/>
          <w:numId w:val="1"/>
        </w:numPr>
        <w:jc w:val="left"/>
        <w:rPr>
          <w:szCs w:val="24"/>
        </w:rPr>
      </w:pPr>
      <w:r>
        <w:rPr>
          <w:szCs w:val="24"/>
        </w:rPr>
        <w:t>Sertifiseringsorgan for kvalitetssystemer</w:t>
      </w:r>
    </w:p>
    <w:p w:rsidR="00C14E73" w:rsidP="00C14E73">
      <w:pPr>
        <w:pStyle w:val="ListParagraph"/>
        <w:numPr>
          <w:ilvl w:val="0"/>
          <w:numId w:val="1"/>
        </w:numPr>
        <w:jc w:val="left"/>
        <w:rPr>
          <w:szCs w:val="24"/>
        </w:rPr>
      </w:pPr>
      <w:r>
        <w:rPr>
          <w:szCs w:val="24"/>
        </w:rPr>
        <w:t>Økonomiregelverket</w:t>
      </w:r>
    </w:p>
    <w:p w:rsidR="00C14E73" w:rsidP="00C14E73">
      <w:pPr>
        <w:pStyle w:val="ListParagraph"/>
        <w:numPr>
          <w:ilvl w:val="0"/>
          <w:numId w:val="1"/>
        </w:numPr>
        <w:jc w:val="left"/>
        <w:rPr>
          <w:szCs w:val="24"/>
        </w:rPr>
      </w:pPr>
      <w:r>
        <w:rPr>
          <w:szCs w:val="24"/>
        </w:rPr>
        <w:t xml:space="preserve">Forskrift om systematisk helse-, miljø- og sikkerhetsarbeid i virksomheter </w:t>
      </w:r>
    </w:p>
    <w:p w:rsidR="00C14E73" w:rsidP="00C14E73">
      <w:pPr>
        <w:pStyle w:val="ListParagraph"/>
        <w:numPr>
          <w:ilvl w:val="0"/>
          <w:numId w:val="1"/>
        </w:numPr>
        <w:jc w:val="left"/>
        <w:rPr>
          <w:szCs w:val="24"/>
        </w:rPr>
      </w:pPr>
      <w:r>
        <w:rPr>
          <w:szCs w:val="24"/>
        </w:rPr>
        <w:t>Arbeidsmiljøloven</w:t>
      </w:r>
    </w:p>
    <w:p w:rsidR="00C14E73" w:rsidRPr="002B701E" w:rsidP="00C14E73">
      <w:pPr>
        <w:pStyle w:val="ListParagraph"/>
        <w:numPr>
          <w:ilvl w:val="0"/>
          <w:numId w:val="1"/>
        </w:numPr>
        <w:jc w:val="left"/>
        <w:rPr>
          <w:szCs w:val="24"/>
        </w:rPr>
      </w:pPr>
      <w:r>
        <w:rPr>
          <w:szCs w:val="24"/>
        </w:rPr>
        <w:t>Policy for internkontroll</w:t>
      </w:r>
    </w:p>
    <w:p w:rsidR="00C14E73" w:rsidP="00C14E73">
      <w:pPr>
        <w:rPr>
          <w:i/>
          <w:color w:val="595959" w:themeColor="text1" w:themeTint="A6"/>
          <w:sz w:val="20"/>
        </w:rPr>
      </w:pPr>
    </w:p>
    <w:p w:rsidR="00C14E73" w:rsidP="00C14E73"/>
    <w:p w:rsidR="00C14E73" w:rsidP="00C14E73">
      <w:pPr>
        <w:pStyle w:val="Heading1"/>
        <w:spacing w:before="0" w:line="260" w:lineRule="atLeast"/>
        <w:ind w:left="360" w:hanging="360"/>
        <w:contextualSpacing/>
      </w:pPr>
      <w:r>
        <w:t>Gjennomføring av prosedyre for avvikshåndtering</w:t>
      </w:r>
    </w:p>
    <w:p w:rsidR="00C14E73" w:rsidP="00C14E73"/>
    <w:p w:rsidR="00C14E73" w:rsidP="00C14E73">
      <w:pPr>
        <w:pStyle w:val="Heading2"/>
      </w:pPr>
      <w:r>
        <w:t>Roller og ansvar</w:t>
      </w:r>
    </w:p>
    <w:p w:rsidR="00C14E73" w:rsidP="00C14E73">
      <w:r w:rsidRPr="009D2746">
        <w:t xml:space="preserve">Alle ansatte </w:t>
      </w:r>
      <w:r>
        <w:t xml:space="preserve">(ledere og medarbeidere) </w:t>
      </w:r>
      <w:r w:rsidRPr="009D2746">
        <w:t xml:space="preserve">er ansvarlige for å </w:t>
      </w:r>
      <w:r>
        <w:t>registrere eventuelle avvik som definert i denne prosedyren som felles styringsdokument og felles prosesser.</w:t>
      </w:r>
    </w:p>
    <w:p w:rsidR="00C14E73" w:rsidP="00C14E73"/>
    <w:p w:rsidR="00C14E73" w:rsidP="00C14E73">
      <w:r>
        <w:t>Leder for sekretariatet har det overordnede ansvaret for førstebehandlingen av innmeldte avvik og vurdere avvikets alvorlighet i forhold til faktisk og potensiell konsekvens.</w:t>
      </w:r>
    </w:p>
    <w:p w:rsidR="00C14E73" w:rsidP="00C14E73"/>
    <w:p w:rsidR="00C14E73" w:rsidP="00C14E73">
      <w:r>
        <w:t>Rektormøtet har opprette en avviksbehandlingsgruppe som foretar avviksanalyse og iverksetter prosesser for å lukke avvik. Gruppen har også ansvar for å melde status tilbake til personen som opprinnelig meldte avviket og påse at avvik blir lukket av ansvarlig person innen definert tid. Gruppen har også ansvar for å sammenstille, analysere og rapportere registrerte avvik til rektormøtet.</w:t>
      </w:r>
    </w:p>
    <w:p w:rsidR="00C14E73" w:rsidP="00C14E73"/>
    <w:p w:rsidR="00C14E73" w:rsidRPr="00CC64D7" w:rsidP="00C14E73">
      <w:pPr>
        <w:rPr>
          <w:i/>
          <w:color w:val="595959" w:themeColor="text1" w:themeTint="A6"/>
          <w:sz w:val="20"/>
        </w:rPr>
      </w:pPr>
      <w:r>
        <w:t xml:space="preserve">Leder, prosesseier eller andre som  får delegert oppgave i forhold til innmeldte avvik har ansvar for at tiltak blir iverksatt og at avviket blir “lukket”. </w:t>
      </w:r>
    </w:p>
    <w:p w:rsidR="00C14E73" w:rsidP="00C14E73"/>
    <w:p w:rsidR="00C14E73" w:rsidP="00C14E73">
      <w:pPr>
        <w:pStyle w:val="Heading2"/>
      </w:pPr>
    </w:p>
    <w:p w:rsidR="00C14E73" w:rsidP="00C14E73">
      <w:r>
        <w:t xml:space="preserve">Behandling av avvik/uønsket hendelse Ansvar: </w:t>
      </w:r>
    </w:p>
    <w:p w:rsidR="00C14E73" w:rsidP="00C14E73"/>
    <w:p w:rsidR="00C14E73" w:rsidP="00C14E73">
      <w:r w:rsidRPr="00CB7874">
        <w:rPr>
          <w:b/>
        </w:rPr>
        <w:t xml:space="preserve">Sekretariatsleder: </w:t>
      </w:r>
      <w:r>
        <w:t>Alle innkomne avvik/uønsket hendelse skal snarest behandles i avvikssystemet og påføres en frist (dato) for lukking og tilbakemelding gis til melder via automatisk meldefunksjon. Delegere oppgave for avviksbehandling og avviksanalyse til avviksgruppen dersom sekretariatsleder vurderer at dette er nødvendig.</w:t>
      </w:r>
    </w:p>
    <w:p w:rsidR="00C14E73" w:rsidP="00C14E73"/>
    <w:p w:rsidR="00C14E73" w:rsidRPr="00CB7874" w:rsidP="00C14E73">
      <w:pPr>
        <w:rPr>
          <w:b/>
        </w:rPr>
      </w:pPr>
      <w:r w:rsidRPr="00CB7874">
        <w:rPr>
          <w:b/>
        </w:rPr>
        <w:t xml:space="preserve">Avviksbehandling: </w:t>
      </w:r>
    </w:p>
    <w:p w:rsidR="00C14E73" w:rsidP="00C14E73">
      <w:r>
        <w:rPr>
          <w:rFonts w:ascii="Symbol" w:hAnsi="Symbol"/>
        </w:rPr>
        <w:sym w:font="Symbol" w:char="F0B7"/>
      </w:r>
      <w:r>
        <w:t xml:space="preserve"> Registrere i avvikssystemet all relevant informasjon om avviket, saksgang, korrektive og forebyggende tiltak </w:t>
      </w:r>
    </w:p>
    <w:p w:rsidR="00C14E73" w:rsidP="00C14E73">
      <w:r>
        <w:rPr>
          <w:rFonts w:ascii="Symbol" w:hAnsi="Symbol"/>
        </w:rPr>
        <w:sym w:font="Symbol" w:char="F0B7"/>
      </w:r>
      <w:r>
        <w:t xml:space="preserve"> Be om uttalelse fra fagkompetanse for det området det gjelder </w:t>
      </w:r>
    </w:p>
    <w:p w:rsidR="00C14E73" w:rsidP="00C14E73">
      <w:r>
        <w:rPr>
          <w:rFonts w:ascii="Symbol" w:hAnsi="Symbol"/>
        </w:rPr>
        <w:sym w:font="Symbol" w:char="F0B7"/>
      </w:r>
      <w:r>
        <w:t xml:space="preserve"> Treffe beslutning om eventuelle strakstiltak, gjennomføre tiltakene og verifisere gjennomføring. </w:t>
      </w:r>
    </w:p>
    <w:p w:rsidR="00C14E73" w:rsidP="00C14E73">
      <w:r>
        <w:rPr>
          <w:rFonts w:ascii="Symbol" w:hAnsi="Symbol"/>
        </w:rPr>
        <w:sym w:font="Symbol" w:char="F0B7"/>
      </w:r>
      <w:r>
        <w:t xml:space="preserve"> Tilbakemelding gis til melder via automatisk meldefunksjon i avvikssystemet. </w:t>
      </w:r>
    </w:p>
    <w:p w:rsidR="00C14E73" w:rsidP="00C14E73"/>
    <w:p w:rsidR="00C14E73" w:rsidP="00C14E73">
      <w:r w:rsidRPr="00CB7874">
        <w:rPr>
          <w:b/>
        </w:rPr>
        <w:t>Avviksanalyse:</w:t>
      </w:r>
      <w:r>
        <w:t xml:space="preserve"> Avvik og uønskede hendelser som har betydning for opplæringskvalitet, vurdering og dokumentasjon skal som hovedregel være gjenstand for en avviksanalyse. </w:t>
      </w:r>
    </w:p>
    <w:p w:rsidR="00C14E73" w:rsidP="00C14E73">
      <w:r>
        <w:rPr>
          <w:rFonts w:ascii="Symbol" w:hAnsi="Symbol"/>
        </w:rPr>
        <w:sym w:font="Symbol" w:char="F0B7"/>
      </w:r>
      <w:r>
        <w:t xml:space="preserve"> Gjennomføre avviksanalyse og avdekke de direkte og bakenforliggende årsaker </w:t>
      </w:r>
    </w:p>
    <w:p w:rsidR="00C14E73" w:rsidP="00C14E73">
      <w:r>
        <w:rPr>
          <w:rFonts w:ascii="Symbol" w:hAnsi="Symbol"/>
        </w:rPr>
        <w:sym w:font="Symbol" w:char="F0B7"/>
      </w:r>
      <w:r>
        <w:t xml:space="preserve"> Avgjøre om og eventuelt hvem som skal iverksette korrektive/forebyggende tiltak. </w:t>
      </w:r>
    </w:p>
    <w:p w:rsidR="00C14E73" w:rsidP="00C14E73">
      <w:r>
        <w:rPr>
          <w:rFonts w:ascii="Symbol" w:hAnsi="Symbol"/>
        </w:rPr>
        <w:sym w:font="Symbol" w:char="F0B7"/>
      </w:r>
      <w:r>
        <w:t xml:space="preserve"> Kontrollere at korrektive/forebyggende tiltak er utført og at det virker etter sin hensikt. </w:t>
      </w:r>
    </w:p>
    <w:p w:rsidR="00C14E73" w:rsidP="00C14E73">
      <w:r>
        <w:rPr>
          <w:rFonts w:ascii="Symbol" w:hAnsi="Symbol"/>
        </w:rPr>
        <w:sym w:font="Symbol" w:char="F0B7"/>
      </w:r>
      <w:r>
        <w:t xml:space="preserve"> Avviket lukkes når tiltak er verifisert. (Avvik som ikke kan lukkes som følge av ressursmessige årsaker tas opp med nærmeste overordnet.) </w:t>
      </w:r>
    </w:p>
    <w:p w:rsidR="00C14E73" w:rsidP="00C14E73">
      <w:r>
        <w:rPr>
          <w:rFonts w:ascii="Symbol" w:hAnsi="Symbol"/>
        </w:rPr>
        <w:sym w:font="Symbol" w:char="F0B7"/>
      </w:r>
      <w:r>
        <w:t xml:space="preserve"> Tilbakemelding gis til melder via automatisk meldefunksjon. </w:t>
      </w:r>
    </w:p>
    <w:p w:rsidR="00C14E73" w:rsidRPr="009F22CA" w:rsidP="00C14E73">
      <w:r>
        <w:rPr>
          <w:rFonts w:ascii="Symbol" w:hAnsi="Symbol"/>
        </w:rPr>
        <w:sym w:font="Symbol" w:char="F0B7"/>
      </w:r>
      <w:r>
        <w:t xml:space="preserve"> Alle hendelser skal informeres/diskuteres på de møtene til avviksgruppen</w:t>
      </w:r>
    </w:p>
    <w:p w:rsidR="00C14E73" w:rsidP="00C14E73">
      <w:pPr>
        <w:rPr>
          <w:b/>
        </w:rPr>
      </w:pPr>
      <w:r>
        <w:rPr>
          <w:b/>
        </w:rPr>
        <w:t xml:space="preserve"> </w:t>
      </w:r>
      <w:r w:rsidRPr="002A62EF">
        <w:rPr>
          <w:b/>
          <w:noProof/>
        </w:rPr>
        <w:drawing>
          <wp:inline distT="0" distB="0" distL="0" distR="0">
            <wp:extent cx="5713095" cy="2644775"/>
            <wp:effectExtent l="0" t="0" r="1905" b="317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84364" name="Bild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3095" cy="2644775"/>
                    </a:xfrm>
                    <a:prstGeom prst="rect">
                      <a:avLst/>
                    </a:prstGeom>
                    <a:noFill/>
                    <a:ln>
                      <a:noFill/>
                    </a:ln>
                  </pic:spPr>
                </pic:pic>
              </a:graphicData>
            </a:graphic>
          </wp:inline>
        </w:drawing>
      </w:r>
    </w:p>
    <w:p w:rsidR="00C14E73" w:rsidP="00C14E73"/>
    <w:p w:rsidR="00C14E73" w:rsidP="00C14E73"/>
    <w:p w:rsidR="00C14E73" w:rsidP="00C14E73"/>
    <w:p w:rsidR="00C14E73" w:rsidP="00C14E73"/>
    <w:p w:rsidR="00C14E73" w:rsidP="00C14E73">
      <w:pPr>
        <w:pStyle w:val="Caption"/>
      </w:pPr>
      <w:r>
        <w:t>Figur Prosessflytdiagram for avvikshåndtering</w:t>
      </w:r>
    </w:p>
    <w:p w:rsidR="00C14E73" w:rsidP="00C14E73"/>
    <w:p w:rsidR="00C14E73" w:rsidRPr="00E32A5B" w:rsidP="00C14E73"/>
    <w:p w:rsidR="00C14E73" w:rsidRPr="00B60F35" w:rsidP="00C14E73">
      <w:pPr>
        <w:pStyle w:val="Heading1"/>
        <w:spacing w:before="0" w:line="260" w:lineRule="atLeast"/>
        <w:ind w:left="360" w:hanging="360"/>
        <w:contextualSpacing/>
      </w:pPr>
      <w:r>
        <w:t>Implementering og etterlevelse</w:t>
      </w:r>
    </w:p>
    <w:p w:rsidR="00C14E73" w:rsidRPr="007E3F83" w:rsidP="00C14E73">
      <w:r>
        <w:t xml:space="preserve">Rektorene på den enkelte skole i samarbeidet </w:t>
      </w:r>
      <w:r w:rsidRPr="005A3A23">
        <w:t>er ansvarlig for implementering av denn</w:t>
      </w:r>
      <w:r>
        <w:t>e prosedyren i egen organisasjon. Sekretariatsleder er ansvarlig for utforming og at prosedyren</w:t>
      </w:r>
      <w:r w:rsidRPr="005A3A23">
        <w:t xml:space="preserve"> til e</w:t>
      </w:r>
      <w:r>
        <w:t>nhver tid er oppdatert. Rektor på den enkelte skole er</w:t>
      </w:r>
      <w:r w:rsidRPr="005A3A23">
        <w:t xml:space="preserve"> ansvarlig for å</w:t>
      </w:r>
      <w:r>
        <w:t xml:space="preserve"> påse etterlevelse av prosedyren.</w:t>
      </w:r>
    </w:p>
    <w:p w:rsidR="00C14E73" w:rsidP="00C14E73">
      <w:pPr>
        <w:rPr>
          <w:b/>
        </w:rPr>
      </w:pPr>
    </w:p>
    <w:p w:rsidR="00C14E73" w:rsidP="00C14E73">
      <w:pPr>
        <w:rPr>
          <w:b/>
        </w:rPr>
      </w:pPr>
    </w:p>
    <w:p w:rsidR="00C14E73" w:rsidP="00C14E73">
      <w:pPr>
        <w:rPr>
          <w:b/>
        </w:rPr>
      </w:pPr>
    </w:p>
    <w:p w:rsidR="008F7F51"/>
    <w:p w:rsidR="008F7F51"/>
    <w:p w:rsidR="008F7F51"/>
    <w:p w:rsidR="008F7F51"/>
    <w:p w:rsidR="008F7F51"/>
    <w:p w:rsidR="008F7F51">
      <w:pPr>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26"/>
        <w:gridCol w:w="45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8F7F51">
      <w:bookmarkEnd w:id="2"/>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3" w:name="EK_EksRef"/>
            <w:r>
              <w:rPr>
                <w:b w:val="0"/>
                <w:color w:val="0000FF"/>
                <w:u w:val="single"/>
              </w:rPr>
              <w:t xml:space="preserve"> </w:t>
            </w:r>
          </w:p>
        </w:tc>
      </w:tr>
    </w:tbl>
    <w:p w:rsidR="008F7F51">
      <w:bookmarkEnd w:id="3"/>
    </w:p>
    <w:p w:rsidR="008F7F51"/>
    <w:sectPr>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3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31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311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31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7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946"/>
      <w:gridCol w:w="2126"/>
    </w:tblGrid>
    <w:tr>
      <w:tblPrEx>
        <w:tblW w:w="0" w:type="auto"/>
        <w:tblInd w:w="7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tblPrEx>
      <w:tc>
        <w:tcPr>
          <w:tcW w:w="6946" w:type="dxa"/>
          <w:vAlign w:val="center"/>
        </w:tcPr>
        <w:p w:rsidR="008F7F51">
          <w:pPr>
            <w:rPr>
              <w:b/>
            </w:rPr>
          </w:pPr>
          <w:r>
            <w:rPr>
              <w:b/>
              <w:color w:val="000080"/>
            </w:rPr>
            <w:fldChar w:fldCharType="begin" w:fldLock="1"/>
          </w:r>
          <w:r>
            <w:rPr>
              <w:b/>
              <w:color w:val="000080"/>
            </w:rPr>
            <w:instrText>DOCPROPERTY EK_DokTittel \*charformat</w:instrText>
          </w:r>
          <w:r>
            <w:rPr>
              <w:b/>
              <w:color w:val="000080"/>
            </w:rPr>
            <w:fldChar w:fldCharType="separate"/>
          </w:r>
          <w:r>
            <w:rPr>
              <w:b/>
              <w:color w:val="000080"/>
            </w:rPr>
            <w:t>Avviksbehandling</w:t>
          </w:r>
          <w:r>
            <w:rPr>
              <w:b/>
              <w:color w:val="000080"/>
            </w:rPr>
            <w:fldChar w:fldCharType="end"/>
          </w:r>
        </w:p>
      </w:tc>
      <w:tc>
        <w:tcPr>
          <w:tcW w:w="2126" w:type="dxa"/>
        </w:tcPr>
        <w:p w:rsidR="008F7F51">
          <w:pPr>
            <w:tabs>
              <w:tab w:val="left" w:pos="590"/>
            </w:tabs>
            <w:spacing w:before="40" w:after="20"/>
            <w:rPr>
              <w:sz w:val="20"/>
            </w:rPr>
          </w:pPr>
          <w:r>
            <w:rPr>
              <w:sz w:val="16"/>
            </w:rPr>
            <w:t>Dok.id.:</w:t>
          </w:r>
          <w:r>
            <w:rPr>
              <w:sz w:val="16"/>
            </w:rPr>
            <w:tab/>
          </w:r>
          <w:r>
            <w:rPr>
              <w:color w:val="000080"/>
              <w:sz w:val="20"/>
            </w:rPr>
            <w:fldChar w:fldCharType="begin" w:fldLock="1"/>
          </w:r>
          <w:r>
            <w:rPr>
              <w:color w:val="000080"/>
              <w:sz w:val="20"/>
            </w:rPr>
            <w:instrText>DOCPROPERTY EK_RefNr \*charformat</w:instrText>
          </w:r>
          <w:r>
            <w:rPr>
              <w:color w:val="000080"/>
              <w:sz w:val="20"/>
            </w:rPr>
            <w:fldChar w:fldCharType="separate"/>
          </w:r>
          <w:r>
            <w:rPr>
              <w:color w:val="000080"/>
              <w:sz w:val="20"/>
            </w:rPr>
            <w:t>.12.3</w:t>
          </w:r>
          <w:r>
            <w:rPr>
              <w:color w:val="000080"/>
              <w:sz w:val="20"/>
            </w:rPr>
            <w:fldChar w:fldCharType="end"/>
          </w:r>
        </w:p>
        <w:p w:rsidR="008F7F51">
          <w:pPr>
            <w:tabs>
              <w:tab w:val="left" w:pos="590"/>
              <w:tab w:val="left" w:pos="639"/>
            </w:tabs>
            <w:spacing w:before="20" w:after="20"/>
            <w:rPr>
              <w:color w:val="000080"/>
              <w:sz w:val="20"/>
            </w:rPr>
          </w:pPr>
          <w:r>
            <w:rPr>
              <w:sz w:val="16"/>
            </w:rPr>
            <w:t>Versjon:</w:t>
          </w:r>
          <w:r>
            <w:rPr>
              <w:sz w:val="16"/>
            </w:rPr>
            <w:tab/>
          </w:r>
          <w:r>
            <w:rPr>
              <w:color w:val="000080"/>
              <w:sz w:val="20"/>
            </w:rPr>
            <w:fldChar w:fldCharType="begin" w:fldLock="1"/>
          </w:r>
          <w:r>
            <w:rPr>
              <w:color w:val="000080"/>
              <w:sz w:val="20"/>
            </w:rPr>
            <w:instrText xml:space="preserve"> DOCPROPERTY EK_Utgave </w:instrText>
          </w:r>
          <w:r>
            <w:rPr>
              <w:color w:val="000080"/>
              <w:sz w:val="20"/>
            </w:rPr>
            <w:fldChar w:fldCharType="separate"/>
          </w:r>
          <w:r>
            <w:rPr>
              <w:color w:val="000080"/>
              <w:sz w:val="20"/>
            </w:rPr>
            <w:t>1.00</w:t>
          </w:r>
          <w:r>
            <w:rPr>
              <w:color w:val="000080"/>
              <w:sz w:val="20"/>
            </w:rPr>
            <w:fldChar w:fldCharType="end"/>
          </w:r>
        </w:p>
        <w:p w:rsidR="008F7F51">
          <w:pPr>
            <w:tabs>
              <w:tab w:val="left" w:pos="590"/>
            </w:tabs>
            <w:spacing w:before="20" w:after="20"/>
          </w:pPr>
          <w:r>
            <w:rPr>
              <w:sz w:val="16"/>
              <w:szCs w:val="16"/>
            </w:rPr>
            <w:t>Side:</w:t>
          </w:r>
          <w:r>
            <w:rPr>
              <w:sz w:val="20"/>
            </w:rPr>
            <w:tab/>
          </w:r>
          <w:r>
            <w:rPr>
              <w:sz w:val="20"/>
            </w:rPr>
            <w:fldChar w:fldCharType="begin"/>
          </w:r>
          <w:r>
            <w:rPr>
              <w:sz w:val="20"/>
            </w:rPr>
            <w:instrText xml:space="preserve">PAGE </w:instrText>
          </w:r>
          <w:r>
            <w:rPr>
              <w:sz w:val="20"/>
            </w:rPr>
            <w:fldChar w:fldCharType="separate"/>
          </w:r>
          <w:r>
            <w:rPr>
              <w:sz w:val="20"/>
            </w:rPr>
            <w:t>3</w:t>
          </w:r>
          <w:r>
            <w:rPr>
              <w:sz w:val="20"/>
            </w:rPr>
            <w:fldChar w:fldCharType="end"/>
          </w:r>
          <w:r>
            <w:rPr>
              <w:sz w:val="20"/>
            </w:rPr>
            <w:t xml:space="preserve"> av </w:t>
          </w:r>
          <w:r>
            <w:rPr>
              <w:sz w:val="20"/>
            </w:rPr>
            <w:fldChar w:fldCharType="begin"/>
          </w:r>
          <w:r>
            <w:rPr>
              <w:sz w:val="20"/>
            </w:rPr>
            <w:instrText>NUMPAGES</w:instrText>
          </w:r>
          <w:r>
            <w:rPr>
              <w:sz w:val="20"/>
            </w:rPr>
            <w:fldChar w:fldCharType="separate"/>
          </w:r>
          <w:r>
            <w:rPr>
              <w:sz w:val="20"/>
            </w:rPr>
            <w:t>3</w:t>
          </w:r>
          <w:r>
            <w:rPr>
              <w:sz w:val="20"/>
            </w:rPr>
            <w:fldChar w:fldCharType="end"/>
          </w:r>
        </w:p>
      </w:tc>
    </w:tr>
  </w:tbl>
  <w:p w:rsidR="008F7F5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3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E9B0731"/>
    <w:multiLevelType w:val="hybridMultilevel"/>
    <w:tmpl w:val="20F6C3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2"/>
  <w:printFractionalCharacterWidth/>
  <w:attachedTemplate r:id="rId1"/>
  <w:documentProtection w:edit="readOnly" w:enforcement="1" w:cryptProviderType="rsaAES" w:cryptAlgorithmClass="hash" w:cryptAlgorithmType="typeAny" w:cryptAlgorithmSid="14" w:cryptSpinCount="100000" w:hash="pLqBDELjvtwBs0u5XDjBX4fxFShsk2mmvLP6yXFYpxFXSB+Euu0y6W0s6nKLfPL4WTjpjWzIIYSE&#10;DMjIDdW4vw==&#10;" w:salt="w8i6NX3M5Q3/aOk6fYVAfA==&#1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02B"/>
    <w:rsid w:val="000D614A"/>
    <w:rsid w:val="00183DD8"/>
    <w:rsid w:val="001C1E14"/>
    <w:rsid w:val="00260D9A"/>
    <w:rsid w:val="002B701E"/>
    <w:rsid w:val="00456AB5"/>
    <w:rsid w:val="00554DE2"/>
    <w:rsid w:val="005A3A23"/>
    <w:rsid w:val="005E1AC9"/>
    <w:rsid w:val="0064502B"/>
    <w:rsid w:val="0069161E"/>
    <w:rsid w:val="007E3F83"/>
    <w:rsid w:val="00811B8E"/>
    <w:rsid w:val="00893F5B"/>
    <w:rsid w:val="008F7F51"/>
    <w:rsid w:val="00960004"/>
    <w:rsid w:val="009C24A7"/>
    <w:rsid w:val="009D2746"/>
    <w:rsid w:val="009F22CA"/>
    <w:rsid w:val="00A35107"/>
    <w:rsid w:val="00B41603"/>
    <w:rsid w:val="00B53D80"/>
    <w:rsid w:val="00B60F35"/>
    <w:rsid w:val="00B943C6"/>
    <w:rsid w:val="00C01AD4"/>
    <w:rsid w:val="00C14E73"/>
    <w:rsid w:val="00C23DA3"/>
    <w:rsid w:val="00C36012"/>
    <w:rsid w:val="00C932EA"/>
    <w:rsid w:val="00CB7874"/>
    <w:rsid w:val="00CB7CA9"/>
    <w:rsid w:val="00CC64D7"/>
    <w:rsid w:val="00D73FEE"/>
    <w:rsid w:val="00DA7184"/>
    <w:rsid w:val="00E32A5B"/>
    <w:rsid w:val="00EE3117"/>
    <w:rsid w:val="00F67E62"/>
    <w:rsid w:val="00FC44E8"/>
  </w:rsids>
  <w:docVars>
    <w:docVar w:name="Avdeling" w:val="lab_avdeling"/>
    <w:docVar w:name="Avsnitt" w:val="lab_avsnitt"/>
    <w:docVar w:name="Bedriftsnavn" w:val="Datakvalitet A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Harry Arne Haugen"/>
    <w:docVar w:name="ek_bedriftsnavn" w:val="Skipsoffisersutdanningen i Norge"/>
    <w:docVar w:name="ek_dbfields" w:val="EK_Avdeling¤2#4¤2# ¤3#EK_Avsnitt¤2#4¤2# ¤3#EK_Bedriftsnavn¤2#1¤2#Skipsoffisersutdanningen i Norge¤3#EK_GjelderFra¤2#0¤2#07.09.2020¤3#EK_KlGjelderFra¤2#0¤2#¤3#EK_Opprettet¤2#0¤2#25.04.2016¤3#EK_Utgitt¤2#0¤2#07.09.2020¤3#EK_IBrukDato¤2#0¤2#07.09.2020¤3#EK_DokumentID¤2#0¤2#D00030¤3#EK_DokTittel¤2#0¤2#Avviksbehandling¤3#EK_DokType¤2#0¤2#Prosedyre¤3#EK_DocLvlShort¤2#0¤2# ¤3#EK_DocLevel¤2#0¤2# ¤3#EK_EksRef¤2#2¤2# 0_x0009_¤3#EK_Erstatter¤2#0¤2# ¤3#EK_ErstatterD¤2#0¤2# ¤3#EK_Signatur¤2#0¤2#Audun Sandnes¤3#EK_Verifisert¤2#0¤2# ¤3#EK_Hørt¤2#0¤2# ¤3#EK_AuditReview¤2#2¤2# ¤3#EK_AuditApprove¤2#2¤2# ¤3#EK_Gradering¤2#0¤2#Åpen¤3#EK_Gradnr¤2#4¤2#0¤3#EK_Kapittel¤2#4¤2# ¤3#EK_Referanse¤2#2¤2# 0_x0009_¤3#EK_RefNr¤2#0¤2#2.3¤3#EK_Revisjon¤2#0¤2#1.00¤3#EK_Ansvarlig¤2#0¤2#Harry Arne Haugen¤3#EK_SkrevetAv¤2#0¤2#Maritime fagskoler i Norge¤3#EK_DokAnsvNavn¤2#0¤2# ¤3#EK_UText2¤2#0¤2# ¤3#EK_UText3¤2#0¤2# ¤3#EK_UText4¤2#0¤2# ¤3#EK_Status¤2#0¤2#I bruk¤3#EK_Stikkord¤2#0¤2#¤3#EK_SuperStikkord¤2#0¤2#¤3#EK_Rapport¤2#3¤2#¤3#EK_EKPrintMerke¤2#0¤2#Uoffisiell utskrift er kun gyldig på utskriftsdato¤3#EK_Watermark¤2#0¤2#¤3#EK_Utgave¤2#0¤2#1.00¤3#EK_Merknad¤2#7¤2#¤3#EK_VerLogg¤2#2¤2#Ver. 1.00 - 07.09.2020|¤3#EK_RF1¤2#4¤2# ¤3#EK_RF2¤2#4¤2# ¤3#EK_RF3¤2#4¤2# ¤3#EK_RF4¤2#4¤2# ¤3#EK_RF5¤2#4¤2# ¤3#EK_RF6¤2#4¤2# ¤3#EK_RF7¤2#4¤2# ¤3#EK_RF8¤2#4¤2# ¤3#EK_RF9¤2#4¤2# ¤3#EK_Mappe1¤2#4¤2# ¤3#EK_Mappe2¤2#4¤2# ¤3#EK_Mappe3¤2#4¤2# ¤3#EK_Mappe4¤2#4¤2# ¤3#EK_Mappe5¤2#4¤2# ¤3#EK_Mappe6¤2#4¤2# ¤3#EK_Mappe7¤2#4¤2# ¤3#EK_Mappe8¤2#4¤2# ¤3#EK_Mappe9¤2#4¤2# ¤3#EK_DL¤2#0¤2#3¤3#EK_GjelderTil¤2#0¤2#¤3#EK_Vedlegg¤2#2¤2# 0_x0009_¤3#EK_AvdelingOver¤2#4¤2# ¤3#EK_HRefNr¤2#0¤2# ¤3#EK_HbNavn¤2#0¤2# ¤3#EK_DokRefnr¤2#4¤2#0002¤3#EK_Dokendrdato¤2#4¤2#25.04.2016 10:26:49¤3#EK_HbType¤2#4¤2# ¤3#EK_Offisiell¤2#4¤2# ¤3#EK_VedleggRef¤2#4¤2#2.3¤3#EK_Strukt00¤2#5¤2#¤5#2¤5#Kvalitetssystem¤5#0¤5#0¤4#/¤3#EK_Strukt01¤2#5¤2#¤3#EK_Pub¤2#6¤2#;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2¤5#Kvalitetssystem¤5#0¤5#0¤4#/¤3#"/>
    <w:docVar w:name="ek_dl" w:val="3"/>
    <w:docVar w:name="ek_doclevel" w:val=" "/>
    <w:docVar w:name="ek_doclvlshort" w:val=" "/>
    <w:docVar w:name="ek_dokansvnavn" w:val=" "/>
    <w:docVar w:name="ek_doktittel" w:val="Avviksbehandling"/>
    <w:docVar w:name="ek_doktype" w:val="Prosedyre"/>
    <w:docVar w:name="ek_dokumentid" w:val="D00030"/>
    <w:docVar w:name="ek_eksref" w:val="[EK_EksRef]"/>
    <w:docVar w:name="ek_erstatter" w:val=" "/>
    <w:docVar w:name="ek_erstatterd" w:val=" "/>
    <w:docVar w:name="ek_format" w:val="-10"/>
    <w:docVar w:name="ek_gjelderfra" w:val="07.09.2020"/>
    <w:docVar w:name="ek_gjeldertil" w:val="[]"/>
    <w:docVar w:name="ek_gradering" w:val="Åpen"/>
    <w:docVar w:name="ek_hbnavn" w:val=" "/>
    <w:docVar w:name="ek_hrefnr" w:val=" "/>
    <w:docVar w:name="ek_hørt" w:val=" "/>
    <w:docVar w:name="ek_ibrukdato" w:val="07.09.2020"/>
    <w:docVar w:name="ek_klgjelderfra" w:val="[]"/>
    <w:docVar w:name="ek_merknad" w:val="[]"/>
    <w:docVar w:name="ek_opprettet" w:val="25.04.2016"/>
    <w:docVar w:name="EK_Protection" w:val="3"/>
    <w:docVar w:name="ek_rapport" w:val="[]"/>
    <w:docVar w:name="ek_refnr" w:val="2.3"/>
    <w:docVar w:name="ek_revisjon" w:val="1.00"/>
    <w:docVar w:name="ek_signatur" w:val="Audun Sandnes"/>
    <w:docVar w:name="ek_skrevetav" w:val="Maritime fagskoler i Norge"/>
    <w:docVar w:name="ek_status" w:val="I bruk"/>
    <w:docVar w:name="ek_stikkord" w:val="[]"/>
    <w:docVar w:name="EK_TYPE" w:val="DOK"/>
    <w:docVar w:name="ek_utext2" w:val=" "/>
    <w:docVar w:name="ek_utext3" w:val=" "/>
    <w:docVar w:name="ek_utext4" w:val=" "/>
    <w:docVar w:name="ek_utgave" w:val="1.00"/>
    <w:docVar w:name="ek_utgitt" w:val="07.09.2020"/>
    <w:docVar w:name="ek_verifisert" w:val=" "/>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F8BE5BC8-7A21-45D8-9AA6-AADF0756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table" w:styleId="TableGrid">
    <w:name w:val="Table Grid"/>
    <w:basedOn w:val="TableNormal"/>
    <w:uiPriority w:val="59"/>
    <w:rsid w:val="00C23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4E73"/>
    <w:pPr>
      <w:spacing w:line="260" w:lineRule="atLeast"/>
      <w:ind w:left="720"/>
      <w:contextualSpacing/>
      <w:jc w:val="both"/>
    </w:pPr>
    <w:rPr>
      <w:rFonts w:ascii="Arial" w:hAnsi="Arial" w:cs="Arial"/>
      <w:color w:val="231F20"/>
      <w:sz w:val="22"/>
      <w:szCs w:val="22"/>
      <w:lang w:eastAsia="en-US"/>
    </w:rPr>
  </w:style>
  <w:style w:type="paragraph" w:styleId="Caption">
    <w:name w:val="caption"/>
    <w:basedOn w:val="Normal"/>
    <w:next w:val="Normal"/>
    <w:uiPriority w:val="35"/>
    <w:unhideWhenUsed/>
    <w:qFormat/>
    <w:rsid w:val="00C14E73"/>
    <w:pPr>
      <w:spacing w:after="200"/>
      <w:jc w:val="both"/>
    </w:pPr>
    <w:rPr>
      <w:rFonts w:ascii="Arial" w:hAnsi="Arial" w:cs="Arial"/>
      <w:b/>
      <w:b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udunStandnes\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OPERATIV</Template>
  <TotalTime>0</TotalTime>
  <Pages>3</Pages>
  <Words>652</Words>
  <Characters>4292</Characters>
  <Application>Microsoft Office Word</Application>
  <DocSecurity>8</DocSecurity>
  <Lines>140</Lines>
  <Paragraphs>62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vt:lpstr>
      <vt:lpstr>Standard</vt:lpstr>
    </vt:vector>
  </TitlesOfParts>
  <Company>Datakvalitet</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Avviksbehandling</dc:title>
  <dc:subject>0002|2.3|</dc:subject>
  <dc:creator>Handbok</dc:creator>
  <dc:description>EK_Avdeling_x0002_4_x0002_ _x0003_EK_Avsnitt_x0002_4_x0002_ _x0003_EK_Bedriftsnavn_x0002_1_x0002_Skipsoffisersutdanningen i Norge_x0003_EK_GjelderFra_x0002_0_x0002_07.09.2020_x0003_EK_KlGjelderFra_x0002_0_x0002__x0003_EK_Opprettet_x0002_0_x0002_25.04.2016_x0003_EK_Utgitt_x0002_0_x0002_07.09.2020_x0003_EK_IBrukDato_x0002_0_x0002_07.09.2020_x0003_EK_DokumentID_x0002_0_x0002_D00030_x0003_EK_DokTittel_x0002_0_x0002_Avviksbehandling_x0003_EK_DokType_x0002_0_x0002_Prosedyre_x0003_EK_DocLvlShort_x0002_0_x0002_ _x0003_EK_DocLevel_x0002_0_x0002_ _x0003_EK_EksRef_x0002_2_x0002_ 0	_x0003_EK_Erstatter_x0002_0_x0002_ _x0003_EK_ErstatterD_x0002_0_x0002_ _x0003_EK_Signatur_x0002_0_x0002_Audun Sandnes_x0003_EK_Verifisert_x0002_0_x0002_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_x0003_EK_RefNr_x0002_0_x0002_2.3_x0003_EK_Revisjon_x0002_0_x0002_1.00_x0003_EK_Ansvarlig_x0002_0_x0002_Harry Arne Haugen_x0003_EK_SkrevetAv_x0002_0_x0002_Maritime fagskoler i Norge_x0003_EK_DokAnsvNavn_x0002_0_x0002_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utskriftsdato_x0003_EK_Watermark_x0002_0_x0002__x0003_EK_Utgave_x0002_0_x0002_1.00_x0003_EK_Merknad_x0002_7_x0002__x0003_EK_VerLogg_x0002_2_x0002_Ver. 1.00 - 07.09.2020|_x0003_EK_RF1_x0002_4_x0002_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_x0003_EK_DL_x0002_0_x0002_3_x0003_EK_GjelderTil_x0002_0_x0002__x0003_EK_Vedlegg_x0002_2_x0002_ 0	_x0003_EK_AvdelingOver_x0002_4_x0002_ _x0003_EK_HRefNr_x0002_0_x0002_ _x0003_EK_HbNavn_x0002_0_x0002_ _x0003_EK_DokRefnr_x0002_4_x0002_0002_x0003_EK_Dokendrdato_x0002_4_x0002_25.04.2016 10:26:49_x0003_EK_HbType_x0002_4_x0002_ _x0003_EK_Offisiell_x0002_4_x0002_ _x0003_EK_VedleggRef_x0002_4_x0002_2.3_x0003_EK_Strukt00_x0002_5_x0002__x0005_2_x0005_Kvalitetssystem_x0005_0_x0005_0_x0004_/_x0003_EK_Strukt01_x0002_5_x0002__x0003_EK_Pub_x0002_6_x0002_;10;15;_x0003_EKR_DokType_x0002_0_x0002_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_x0003_EKR_Strukt00_x0002_5_x0002__x0005_2_x0005_Kvalitetssystem_x0005_0_x0005_0_x0004_/_x0003_</dc:description>
  <cp:lastModifiedBy>Audun Johan Standnes</cp:lastModifiedBy>
  <cp:revision>2</cp:revision>
  <dcterms:created xsi:type="dcterms:W3CDTF">2020-09-07T10:51:00Z</dcterms:created>
  <dcterms:modified xsi:type="dcterms:W3CDTF">2020-09-07T10:51:00Z</dcterms:modified>
  <cp:category>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Skipsoffisersutdanningen i Norge</vt:lpwstr>
  </property>
  <property fmtid="{D5CDD505-2E9C-101B-9397-08002B2CF9AE}" pid="3" name="EK_DokTittel">
    <vt:lpwstr>Avviksbehandling</vt:lpwstr>
  </property>
  <property fmtid="{D5CDD505-2E9C-101B-9397-08002B2CF9AE}" pid="4" name="EK_DokType">
    <vt:lpwstr>Prosedyre</vt:lpwstr>
  </property>
  <property fmtid="{D5CDD505-2E9C-101B-9397-08002B2CF9AE}" pid="5" name="EK_GjelderFra">
    <vt:lpwstr>07.09.2020</vt:lpwstr>
  </property>
  <property fmtid="{D5CDD505-2E9C-101B-9397-08002B2CF9AE}" pid="6" name="EK_RefNr">
    <vt:lpwstr>.12.3</vt:lpwstr>
  </property>
  <property fmtid="{D5CDD505-2E9C-101B-9397-08002B2CF9AE}" pid="7" name="EK_Signatur">
    <vt:lpwstr>Audun Sandnes</vt:lpwstr>
  </property>
  <property fmtid="{D5CDD505-2E9C-101B-9397-08002B2CF9AE}" pid="8" name="EK_SkrevetAv">
    <vt:lpwstr>Maritime fagskoler i Norge</vt:lpwstr>
  </property>
  <property fmtid="{D5CDD505-2E9C-101B-9397-08002B2CF9AE}" pid="9" name="EK_Utgave">
    <vt:lpwstr>1.00</vt:lpwstr>
  </property>
  <property fmtid="{D5CDD505-2E9C-101B-9397-08002B2CF9AE}" pid="10" name="EK_Watermark">
    <vt:lpwstr/>
  </property>
</Properties>
</file>